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Video Reflection Guide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Goals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To watch yourself with purpose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To highlight priority evidence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To analyze evidence and make self-directed adjustments to your instruction</w:t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Tools to support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Video Reflection Module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Steps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Record lesson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Watch video segment on your own (10 - 15 minute segment)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Make observations and gather evidence, pausing and rewatching as needed (Documentation on following page) - View “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Video Reflection Module</w:t>
        </w:r>
      </w:hyperlink>
      <w:r w:rsidDel="00000000" w:rsidR="00000000" w:rsidRPr="00000000">
        <w:rPr>
          <w:rtl w:val="0"/>
        </w:rPr>
        <w:t xml:space="preserve">” to learn more about the process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20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When watching the video: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00" w:before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Focus on evidence, rather than irrelevant or reactive details.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00" w:before="0"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Focus on evidence that is important. 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200" w:before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Keep your observations focused on what students are getting out of the talk and interaction.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200" w:before="0" w:line="360" w:lineRule="auto"/>
        <w:ind w:left="2880" w:hanging="360"/>
        <w:rPr/>
      </w:pPr>
      <w:r w:rsidDel="00000000" w:rsidR="00000000" w:rsidRPr="00000000">
        <w:rPr>
          <w:rtl w:val="0"/>
        </w:rPr>
        <w:t xml:space="preserve">Keep focused on how the classroom talk is serving the learning goals of the lesson and the science and engineering practices involved.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before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Use context to reason about classroom interactions.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before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Make connections with MSTF Standards of Practice.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Plan future instruction.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the following documentation</w:t>
      </w:r>
    </w:p>
    <w:p w:rsidR="00000000" w:rsidDel="00000000" w:rsidP="00000000" w:rsidRDefault="00000000" w:rsidRPr="00000000" w14:paraId="00000018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Goals: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Ambitious Science Practice/Impact Cycle Goal -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Student Learning Goal - 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before="200" w:lineRule="auto"/>
        <w:rPr/>
      </w:pPr>
      <w:r w:rsidDel="00000000" w:rsidR="00000000" w:rsidRPr="00000000">
        <w:rPr>
          <w:rtl w:val="0"/>
        </w:rPr>
        <w:t xml:space="preserve">Strategy implemented to react Ambitious Science Practice/Impact Cycle Goal: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before="20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To add more rows to table below: hit tab in the last cell or highlight last row, right click and ‘add row below’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Piece of Evidence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00" w:lineRule="auto"/>
        <w:ind w:left="360" w:hanging="360"/>
        <w:rPr/>
      </w:pPr>
      <w:r w:rsidDel="00000000" w:rsidR="00000000" w:rsidRPr="00000000">
        <w:rPr>
          <w:rtl w:val="0"/>
        </w:rPr>
        <w:t xml:space="preserve">On a scale of 1 - 10, with 1 being “I did not come close to hitting my goal” and 10 being “I met my goal completely”, how would you rank that lesson?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lineRule="auto"/>
        <w:ind w:left="360" w:hanging="360"/>
        <w:rPr/>
      </w:pPr>
      <w:r w:rsidDel="00000000" w:rsidR="00000000" w:rsidRPr="00000000">
        <w:rPr>
          <w:rtl w:val="0"/>
        </w:rPr>
        <w:t xml:space="preserve">What pleased you about the lesson?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lineRule="auto"/>
        <w:ind w:left="360" w:hanging="360"/>
        <w:rPr/>
      </w:pPr>
      <w:r w:rsidDel="00000000" w:rsidR="00000000" w:rsidRPr="00000000">
        <w:rPr>
          <w:rtl w:val="0"/>
        </w:rPr>
        <w:t xml:space="preserve">What would have to change to move the lesson closer to a 10?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lineRule="auto"/>
        <w:ind w:left="360" w:hanging="360"/>
        <w:rPr/>
      </w:pPr>
      <w:r w:rsidDel="00000000" w:rsidR="00000000" w:rsidRPr="00000000">
        <w:rPr>
          <w:rtl w:val="0"/>
        </w:rPr>
        <w:t xml:space="preserve">What would your students be doing differently if your class was a 10?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200" w:lineRule="auto"/>
        <w:ind w:left="1440" w:hanging="360"/>
        <w:rPr/>
      </w:pPr>
      <w:r w:rsidDel="00000000" w:rsidR="00000000" w:rsidRPr="00000000">
        <w:rPr>
          <w:rtl w:val="0"/>
        </w:rPr>
        <w:t xml:space="preserve">Say more about what that would look like.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00" w:lineRule="auto"/>
        <w:ind w:left="1440" w:hanging="360"/>
        <w:rPr/>
      </w:pPr>
      <w:r w:rsidDel="00000000" w:rsidR="00000000" w:rsidRPr="00000000">
        <w:rPr>
          <w:rtl w:val="0"/>
        </w:rPr>
        <w:t xml:space="preserve">How could we measure that change?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200" w:lineRule="auto"/>
        <w:ind w:left="1440" w:hanging="360"/>
        <w:rPr/>
      </w:pPr>
      <w:r w:rsidDel="00000000" w:rsidR="00000000" w:rsidRPr="00000000">
        <w:rPr>
          <w:rtl w:val="0"/>
        </w:rPr>
        <w:t xml:space="preserve">What teaching strategy(ies) might you use to elicit this change?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lineRule="auto"/>
        <w:ind w:left="360" w:hanging="360"/>
        <w:rPr/>
      </w:pPr>
      <w:r w:rsidDel="00000000" w:rsidR="00000000" w:rsidRPr="00000000">
        <w:rPr>
          <w:rtl w:val="0"/>
        </w:rPr>
        <w:t xml:space="preserve">What did the data you collected (student work, exit tickets, formatives, reflections….) tell you about the students’ learning and experience?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0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What will you or did you do differently based on the student data (how did it impact your instruction)?</w:t>
      </w:r>
    </w:p>
    <w:p w:rsidR="00000000" w:rsidDel="00000000" w:rsidP="00000000" w:rsidRDefault="00000000" w:rsidRPr="00000000" w14:paraId="00000043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rPr/>
      </w:pPr>
      <w:r w:rsidDel="00000000" w:rsidR="00000000" w:rsidRPr="00000000">
        <w:rPr>
          <w:rtl w:val="0"/>
        </w:rPr>
        <w:t xml:space="preserve">Notes: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662113" cy="48061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4806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>
        <w:b w:val="1"/>
        <w:sz w:val="20"/>
        <w:szCs w:val="20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adapted from the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Best Foot Forward project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, Harvard College</w:t>
    </w:r>
    <w:r w:rsidDel="00000000" w:rsidR="00000000" w:rsidRPr="00000000">
      <w:rPr>
        <w:b w:val="1"/>
        <w:sz w:val="20"/>
        <w:szCs w:val="20"/>
        <w:rtl w:val="0"/>
      </w:rPr>
      <w:t xml:space="preserve">)</w:t>
    </w:r>
    <w:r w:rsidDel="00000000" w:rsidR="00000000" w:rsidRPr="00000000">
      <w:rPr>
        <w:rtl w:val="0"/>
      </w:rPr>
      <w:tab/>
    </w:r>
    <w:r w:rsidDel="00000000" w:rsidR="00000000" w:rsidRPr="00000000">
      <w:rPr/>
      <w:drawing>
        <wp:inline distB="114300" distT="114300" distL="114300" distR="114300">
          <wp:extent cx="1100138" cy="461936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461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1481138" cy="624989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6249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3814763" cy="406491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64375" y="610425"/>
                        <a:ext cx="4631657" cy="473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angolin" w:cs="Pangolin" w:eastAsia="Pangolin" w:hAnsi="Pangolin"/>
                              <w:b w:val="0"/>
                              <w:i w:val="0"/>
                              <w:smallCaps w:val="0"/>
                              <w:strike w:val="0"/>
                              <w:color w:val="6d9eeb"/>
                              <w:sz w:val="144"/>
                              <w:vertAlign w:val="baseline"/>
                            </w:rPr>
                            <w:t xml:space="preserve">Reflective Educator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3814763" cy="406491"/>
              <wp:effectExtent b="0" l="0" r="0" t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4763" cy="40649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  <w:tab/>
    </w:r>
    <w:r w:rsidDel="00000000" w:rsidR="00000000" w:rsidRPr="00000000">
      <w:rPr/>
      <w:drawing>
        <wp:inline distB="114300" distT="114300" distL="114300" distR="114300">
          <wp:extent cx="723881" cy="90737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881" cy="9073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0" w:line="36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4hGTrWhbdFoDzc4Eb_Lvo7r6f7JNDnZHSVoJWJ4rV3c/edit?usp=sharing" TargetMode="External"/><Relationship Id="rId7" Type="http://schemas.openxmlformats.org/officeDocument/2006/relationships/hyperlink" Target="https://docs.google.com/presentation/d/14hGTrWhbdFoDzc4Eb_Lvo7r6f7JNDnZHSVoJWJ4rV3c/edit?usp=sharing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epr.harvard.edu/best-foot-forward-project" TargetMode="External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