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Funds of Knowledge Inventory Matrix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</w:rPr>
        <w:drawing>
          <wp:inline distB="114300" distT="114300" distL="114300" distR="114300">
            <wp:extent cx="7040880" cy="444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44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</w:rPr>
        <w:drawing>
          <wp:inline distB="114300" distT="114300" distL="114300" distR="114300">
            <wp:extent cx="7040880" cy="4711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71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4.0" w:type="dxa"/>
        <w:jc w:val="left"/>
        <w:tblInd w:w="-15.0" w:type="dxa"/>
        <w:tblLayout w:type="fixed"/>
        <w:tblLook w:val="0600"/>
      </w:tblPr>
      <w:tblGrid>
        <w:gridCol w:w="1693"/>
        <w:gridCol w:w="4442"/>
        <w:gridCol w:w="4669"/>
        <w:tblGridChange w:id="0">
          <w:tblGrid>
            <w:gridCol w:w="1693"/>
            <w:gridCol w:w="4442"/>
            <w:gridCol w:w="4669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Funds of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Home/Community Practices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Classroom 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B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C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E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F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Politics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1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2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Agriculture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6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Sports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8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E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Religion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2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4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Health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8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Childcare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C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F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0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3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4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Entertainment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6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7">
            <w:pPr>
              <w:ind w:left="360" w:firstLine="0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¿……………?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9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A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shd w:fill="ffffff" w:val="clear"/>
        <w:spacing w:after="160" w:before="300" w:line="264" w:lineRule="auto"/>
        <w:rPr>
          <w:rFonts w:ascii="Verdana" w:cs="Verdana" w:eastAsia="Verdana" w:hAnsi="Verdana"/>
          <w:color w:val="244a5f"/>
          <w:sz w:val="24"/>
          <w:szCs w:val="24"/>
        </w:rPr>
      </w:pPr>
      <w:bookmarkStart w:colFirst="0" w:colLast="0" w:name="_heading=h.b7v0wulugvwe" w:id="1"/>
      <w:bookmarkEnd w:id="1"/>
      <w:r w:rsidDel="00000000" w:rsidR="00000000" w:rsidRPr="00000000">
        <w:rPr>
          <w:rFonts w:ascii="Verdana" w:cs="Verdana" w:eastAsia="Verdana" w:hAnsi="Verdana"/>
          <w:color w:val="244a5f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3E">
      <w:pPr>
        <w:pBdr>
          <w:bottom w:color="auto" w:space="1" w:sz="0" w:val="none"/>
        </w:pBdr>
        <w:shd w:fill="ffffff" w:val="clear"/>
        <w:spacing w:after="0" w:line="240" w:lineRule="auto"/>
        <w:ind w:left="810" w:hanging="810"/>
        <w:rPr>
          <w:rFonts w:ascii="Verdana" w:cs="Verdana" w:eastAsia="Verdana" w:hAnsi="Verdana"/>
          <w:color w:val="49473b"/>
        </w:rPr>
      </w:pPr>
      <w:r w:rsidDel="00000000" w:rsidR="00000000" w:rsidRPr="00000000">
        <w:rPr>
          <w:rFonts w:ascii="Verdana" w:cs="Verdana" w:eastAsia="Verdana" w:hAnsi="Verdana"/>
          <w:color w:val="49473b"/>
          <w:rtl w:val="0"/>
        </w:rPr>
        <w:t xml:space="preserve">González, N., Moll, L.C., &amp; Amanti, C.. (2005). Funds of knowledge: Theorizing practices in households, communities, and classrooms. Mahwah, NJ: Lawrence Erlbaum Associates.</w:t>
      </w:r>
    </w:p>
    <w:p w:rsidR="00000000" w:rsidDel="00000000" w:rsidP="00000000" w:rsidRDefault="00000000" w:rsidRPr="00000000" w14:paraId="0000003F">
      <w:pPr>
        <w:pBdr>
          <w:bottom w:color="auto" w:space="1" w:sz="0" w:val="none"/>
        </w:pBdr>
        <w:shd w:fill="ffffff" w:val="clear"/>
        <w:spacing w:after="0" w:line="240" w:lineRule="auto"/>
        <w:ind w:left="810" w:hanging="810"/>
        <w:rPr>
          <w:rFonts w:ascii="Verdana" w:cs="Verdana" w:eastAsia="Verdana" w:hAnsi="Verdana"/>
          <w:color w:val="49473b"/>
        </w:rPr>
      </w:pPr>
      <w:r w:rsidDel="00000000" w:rsidR="00000000" w:rsidRPr="00000000">
        <w:rPr>
          <w:rFonts w:ascii="Verdana" w:cs="Verdana" w:eastAsia="Verdana" w:hAnsi="Verdana"/>
          <w:color w:val="49473b"/>
          <w:rtl w:val="0"/>
        </w:rPr>
        <w:t xml:space="preserve">Hogg, L. (2011). Funds of knowledge: An investigation of coherence within the literature. Teaching and Teacher Education, 27, 666-677.</w:t>
      </w:r>
    </w:p>
    <w:p w:rsidR="00000000" w:rsidDel="00000000" w:rsidP="00000000" w:rsidRDefault="00000000" w:rsidRPr="00000000" w14:paraId="00000040">
      <w:pPr>
        <w:pBdr>
          <w:bottom w:color="auto" w:space="1" w:sz="0" w:val="none"/>
        </w:pBdr>
        <w:shd w:fill="ffffff" w:val="clear"/>
        <w:spacing w:after="0" w:line="240" w:lineRule="auto"/>
        <w:ind w:left="810" w:hanging="810"/>
        <w:rPr>
          <w:rFonts w:ascii="Verdana" w:cs="Verdana" w:eastAsia="Verdana" w:hAnsi="Verdana"/>
          <w:color w:val="49473b"/>
        </w:rPr>
      </w:pPr>
      <w:r w:rsidDel="00000000" w:rsidR="00000000" w:rsidRPr="00000000">
        <w:rPr>
          <w:rFonts w:ascii="Verdana" w:cs="Verdana" w:eastAsia="Verdana" w:hAnsi="Verdana"/>
          <w:color w:val="49473b"/>
          <w:rtl w:val="0"/>
        </w:rPr>
        <w:t xml:space="preserve">Johnson, E.J., &amp; Johnson, A.B. (2016). Enhancing academic investment through home-school connections. Journal of Language &amp; Literacy Education, 12(1), 104-121.</w:t>
      </w:r>
    </w:p>
    <w:p w:rsidR="00000000" w:rsidDel="00000000" w:rsidP="00000000" w:rsidRDefault="00000000" w:rsidRPr="00000000" w14:paraId="00000041">
      <w:pPr>
        <w:pBdr>
          <w:bottom w:color="auto" w:space="1" w:sz="0" w:val="none"/>
        </w:pBdr>
        <w:shd w:fill="ffffff" w:val="clear"/>
        <w:spacing w:after="0" w:line="240" w:lineRule="auto"/>
        <w:ind w:left="810" w:hanging="810"/>
        <w:rPr>
          <w:rFonts w:ascii="Verdana" w:cs="Verdana" w:eastAsia="Verdana" w:hAnsi="Verdana"/>
          <w:color w:val="49473b"/>
        </w:rPr>
      </w:pPr>
      <w:r w:rsidDel="00000000" w:rsidR="00000000" w:rsidRPr="00000000">
        <w:rPr>
          <w:rFonts w:ascii="Verdana" w:cs="Verdana" w:eastAsia="Verdana" w:hAnsi="Verdana"/>
          <w:color w:val="49473b"/>
          <w:rtl w:val="0"/>
        </w:rPr>
        <w:t xml:space="preserve">Rodriguez, G. (2011). Power and agency in education: Exploring the pedagogical dimensions of funds of knowledge. Review of Research in Education, 37(1), 87-120.</w:t>
      </w:r>
    </w:p>
    <w:p w:rsidR="00000000" w:rsidDel="00000000" w:rsidP="00000000" w:rsidRDefault="00000000" w:rsidRPr="00000000" w14:paraId="00000042">
      <w:pPr>
        <w:pBdr>
          <w:bottom w:color="auto" w:space="1" w:sz="0" w:val="none"/>
        </w:pBdr>
        <w:shd w:fill="ffffff" w:val="clear"/>
        <w:spacing w:after="0" w:line="240" w:lineRule="auto"/>
        <w:ind w:left="810" w:hanging="810"/>
        <w:rPr>
          <w:rFonts w:ascii="Verdana" w:cs="Verdana" w:eastAsia="Verdana" w:hAnsi="Verdana"/>
          <w:color w:val="49473b"/>
        </w:rPr>
      </w:pPr>
      <w:r w:rsidDel="00000000" w:rsidR="00000000" w:rsidRPr="00000000">
        <w:rPr>
          <w:rFonts w:ascii="Verdana" w:cs="Verdana" w:eastAsia="Verdana" w:hAnsi="Verdana"/>
          <w:color w:val="49473b"/>
          <w:rtl w:val="0"/>
        </w:rPr>
        <w:t xml:space="preserve">Vélez-Ibáñez, C.G., &amp; Greenberg, J.B. (1992). Formation and transformation of funds of knowledge among U.S. Mexican households. Anthropology &amp; Education Quarterly, 23(4), 313-335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20160" w:w="12240" w:orient="portrait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4E10"/>
    <w:pPr>
      <w:spacing w:after="0" w:line="240" w:lineRule="auto"/>
    </w:pPr>
    <w:rPr>
      <w:rFonts w:cs="Times New Roman" w:eastAsia="Calibri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44E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bPaDcjj65+GoqVPI5GRVVeP0kg==">AMUW2mUpI/SmT3RqsAVjFjoRNfOHNeh76RFhRjAlCO7fgj71o+ZYsSC0PzZZuBWMXRpfSBa+Pf1Gi2P3nINMYWvftekdmt/1p8oozC7/KIsrqZDJ18DxyZQnzEFXo8+ilUWKwNLbKJeP53mElaoRno5OVAUbD2x9gQ==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2016-05-13T22:22:00Z</dcterms:created>
  <dc:creator>Hayley</dc:creator>
</cp:coreProperties>
</file>